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D86FAC" w14:textId="4503E388" w:rsidR="002B12DE" w:rsidRDefault="0001399E">
      <w:pPr>
        <w:spacing w:line="460" w:lineRule="exact"/>
        <w:rPr>
          <w:rFonts w:ascii="Times New Roman" w:hAnsi="Times New Roman"/>
          <w:sz w:val="24"/>
          <w:szCs w:val="24"/>
        </w:rPr>
      </w:pPr>
      <w:bookmarkStart w:id="0" w:name="_Hlk18081913"/>
      <w:r>
        <w:rPr>
          <w:rFonts w:ascii="Times New Roman" w:hAnsi="Times New Roman"/>
          <w:sz w:val="24"/>
          <w:szCs w:val="24"/>
        </w:rPr>
        <w:t>股票代码：</w:t>
      </w:r>
      <w:r>
        <w:rPr>
          <w:rFonts w:ascii="Times New Roman" w:hAnsi="Times New Roman"/>
          <w:sz w:val="24"/>
          <w:szCs w:val="24"/>
        </w:rPr>
        <w:t xml:space="preserve">600860           </w:t>
      </w:r>
      <w:r>
        <w:rPr>
          <w:rFonts w:ascii="Times New Roman" w:hAnsi="Times New Roman"/>
          <w:sz w:val="24"/>
          <w:szCs w:val="24"/>
        </w:rPr>
        <w:t>股票简称：京城</w:t>
      </w:r>
      <w:r>
        <w:rPr>
          <w:rFonts w:ascii="Times New Roman" w:hAnsi="Times New Roman" w:hint="eastAsia"/>
          <w:sz w:val="24"/>
          <w:szCs w:val="24"/>
        </w:rPr>
        <w:t>股份</w:t>
      </w:r>
      <w:r>
        <w:rPr>
          <w:rFonts w:ascii="Times New Roman" w:hAnsi="Times New Roman"/>
          <w:sz w:val="24"/>
          <w:szCs w:val="24"/>
        </w:rPr>
        <w:t xml:space="preserve">        </w:t>
      </w:r>
      <w:r>
        <w:rPr>
          <w:rFonts w:ascii="Times New Roman" w:hAnsi="Times New Roman"/>
          <w:sz w:val="24"/>
          <w:szCs w:val="24"/>
        </w:rPr>
        <w:t>编号：临</w:t>
      </w:r>
      <w:r>
        <w:rPr>
          <w:rFonts w:ascii="Times New Roman" w:hAnsi="Times New Roman"/>
          <w:sz w:val="24"/>
          <w:szCs w:val="24"/>
        </w:rPr>
        <w:t>2021</w:t>
      </w:r>
      <w:r>
        <w:rPr>
          <w:rFonts w:ascii="Times New Roman" w:hAnsi="Times New Roman" w:hint="eastAsia"/>
          <w:sz w:val="24"/>
          <w:szCs w:val="24"/>
        </w:rPr>
        <w:t>-</w:t>
      </w:r>
      <w:r w:rsidR="00DE4A12" w:rsidRPr="000D10C5">
        <w:rPr>
          <w:rFonts w:ascii="Times New Roman" w:hAnsi="Times New Roman" w:hint="eastAsia"/>
          <w:sz w:val="24"/>
          <w:szCs w:val="24"/>
        </w:rPr>
        <w:t>0</w:t>
      </w:r>
      <w:r w:rsidR="00DE4A12" w:rsidRPr="000D10C5">
        <w:rPr>
          <w:rFonts w:ascii="Times New Roman" w:hAnsi="Times New Roman"/>
          <w:sz w:val="24"/>
          <w:szCs w:val="24"/>
        </w:rPr>
        <w:t>26</w:t>
      </w:r>
    </w:p>
    <w:p w14:paraId="184111AC" w14:textId="77777777" w:rsidR="002B12DE" w:rsidRDefault="002B12DE">
      <w:pPr>
        <w:spacing w:line="460" w:lineRule="exact"/>
        <w:ind w:firstLine="57"/>
        <w:rPr>
          <w:rFonts w:ascii="宋体" w:hAnsi="宋体"/>
          <w:sz w:val="24"/>
          <w:szCs w:val="24"/>
        </w:rPr>
      </w:pPr>
    </w:p>
    <w:p w14:paraId="134FB473" w14:textId="77777777" w:rsidR="002B12DE" w:rsidRDefault="0001399E">
      <w:pPr>
        <w:adjustRightInd w:val="0"/>
        <w:snapToGrid w:val="0"/>
        <w:spacing w:line="460" w:lineRule="exact"/>
        <w:jc w:val="center"/>
        <w:rPr>
          <w:rFonts w:ascii="宋体" w:hAnsi="宋体"/>
          <w:b/>
          <w:color w:val="FF0000"/>
          <w:sz w:val="36"/>
          <w:szCs w:val="36"/>
        </w:rPr>
      </w:pPr>
      <w:r>
        <w:rPr>
          <w:rFonts w:ascii="Times New Roman" w:hAnsi="Times New Roman" w:hint="eastAsia"/>
          <w:b/>
          <w:color w:val="FF0000"/>
          <w:sz w:val="36"/>
          <w:szCs w:val="36"/>
        </w:rPr>
        <w:t>北</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京</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京</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城</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机</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电</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股</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份</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有</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限</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公</w:t>
      </w:r>
      <w:r>
        <w:rPr>
          <w:rFonts w:ascii="Times New Roman" w:hAnsi="Times New Roman" w:hint="eastAsia"/>
          <w:b/>
          <w:color w:val="FF0000"/>
          <w:sz w:val="36"/>
          <w:szCs w:val="36"/>
        </w:rPr>
        <w:t xml:space="preserve"> </w:t>
      </w:r>
      <w:r>
        <w:rPr>
          <w:rFonts w:ascii="Times New Roman" w:hAnsi="Times New Roman" w:hint="eastAsia"/>
          <w:b/>
          <w:color w:val="FF0000"/>
          <w:sz w:val="36"/>
          <w:szCs w:val="36"/>
        </w:rPr>
        <w:t>司</w:t>
      </w:r>
    </w:p>
    <w:p w14:paraId="73CA65C2" w14:textId="77777777" w:rsidR="002B12DE" w:rsidRDefault="0001399E">
      <w:pPr>
        <w:adjustRightInd w:val="0"/>
        <w:snapToGrid w:val="0"/>
        <w:spacing w:line="460" w:lineRule="exact"/>
        <w:rPr>
          <w:rFonts w:ascii="宋体" w:hAnsi="宋体"/>
          <w:b/>
          <w:caps/>
          <w:color w:val="FF0000"/>
          <w:sz w:val="32"/>
          <w:szCs w:val="32"/>
        </w:rPr>
      </w:pPr>
      <w:r>
        <w:rPr>
          <w:rFonts w:ascii="宋体" w:hAnsi="宋体"/>
          <w:b/>
          <w:caps/>
          <w:color w:val="FF0000"/>
          <w:sz w:val="32"/>
          <w:szCs w:val="32"/>
        </w:rPr>
        <w:t>Beijing Jingcheng Machinery Electric Company Limited</w:t>
      </w:r>
    </w:p>
    <w:p w14:paraId="36AEB658" w14:textId="77777777" w:rsidR="002B12DE" w:rsidRDefault="0001399E">
      <w:pPr>
        <w:adjustRightInd w:val="0"/>
        <w:snapToGrid w:val="0"/>
        <w:spacing w:line="460" w:lineRule="exact"/>
        <w:jc w:val="center"/>
        <w:rPr>
          <w:rFonts w:ascii="宋体" w:hAnsi="宋体"/>
          <w:b/>
          <w:i/>
          <w:color w:val="FF0000"/>
          <w:sz w:val="32"/>
          <w:szCs w:val="32"/>
        </w:rPr>
      </w:pPr>
      <w:r>
        <w:rPr>
          <w:rFonts w:ascii="宋体" w:hAnsi="宋体" w:hint="eastAsia"/>
          <w:b/>
          <w:i/>
          <w:color w:val="FF0000"/>
          <w:sz w:val="32"/>
          <w:szCs w:val="32"/>
        </w:rPr>
        <w:t>(</w:t>
      </w:r>
      <w:r>
        <w:rPr>
          <w:rFonts w:ascii="宋体" w:hAnsi="宋体" w:hint="eastAsia"/>
          <w:b/>
          <w:i/>
          <w:color w:val="FF0000"/>
          <w:sz w:val="32"/>
          <w:szCs w:val="32"/>
        </w:rPr>
        <w:t>在中华人民共和国注册成立之股份有限公司</w:t>
      </w:r>
      <w:r>
        <w:rPr>
          <w:rFonts w:ascii="宋体" w:hAnsi="宋体" w:hint="eastAsia"/>
          <w:b/>
          <w:i/>
          <w:color w:val="FF0000"/>
          <w:sz w:val="32"/>
          <w:szCs w:val="32"/>
        </w:rPr>
        <w:t>)</w:t>
      </w:r>
    </w:p>
    <w:p w14:paraId="679612FA" w14:textId="3A52380A" w:rsidR="002B12DE" w:rsidRDefault="0001399E">
      <w:pPr>
        <w:spacing w:line="480" w:lineRule="exact"/>
        <w:jc w:val="center"/>
        <w:rPr>
          <w:rFonts w:ascii="Times New Roman" w:eastAsia="宋体" w:hAnsi="Times New Roman"/>
          <w:b/>
          <w:bCs/>
          <w:color w:val="FF0000"/>
          <w:sz w:val="32"/>
          <w:szCs w:val="32"/>
        </w:rPr>
      </w:pPr>
      <w:r>
        <w:rPr>
          <w:rFonts w:ascii="Times New Roman" w:eastAsia="宋体" w:hAnsi="Times New Roman" w:hint="eastAsia"/>
          <w:b/>
          <w:bCs/>
          <w:color w:val="FF0000"/>
          <w:sz w:val="32"/>
          <w:szCs w:val="32"/>
        </w:rPr>
        <w:t>关于中国证监会上市公司并购重组审核委员会审核公司发行股份及支付现金购买资产并募集配套资金事项的</w:t>
      </w:r>
      <w:r w:rsidR="008B7F91">
        <w:rPr>
          <w:rFonts w:ascii="Times New Roman" w:eastAsia="宋体" w:hAnsi="Times New Roman" w:hint="eastAsia"/>
          <w:b/>
          <w:bCs/>
          <w:color w:val="FF0000"/>
          <w:sz w:val="32"/>
          <w:szCs w:val="32"/>
        </w:rPr>
        <w:t>A</w:t>
      </w:r>
      <w:r w:rsidR="008B7F91">
        <w:rPr>
          <w:rFonts w:ascii="Times New Roman" w:eastAsia="宋体" w:hAnsi="Times New Roman" w:hint="eastAsia"/>
          <w:b/>
          <w:bCs/>
          <w:color w:val="FF0000"/>
          <w:sz w:val="32"/>
          <w:szCs w:val="32"/>
        </w:rPr>
        <w:t>股</w:t>
      </w:r>
      <w:r w:rsidR="00A447B2">
        <w:rPr>
          <w:rFonts w:ascii="Times New Roman" w:eastAsia="宋体" w:hAnsi="Times New Roman" w:hint="eastAsia"/>
          <w:b/>
          <w:bCs/>
          <w:color w:val="FF0000"/>
          <w:sz w:val="32"/>
          <w:szCs w:val="32"/>
        </w:rPr>
        <w:t>股票</w:t>
      </w:r>
      <w:r>
        <w:rPr>
          <w:rFonts w:ascii="Times New Roman" w:eastAsia="宋体" w:hAnsi="Times New Roman" w:hint="eastAsia"/>
          <w:b/>
          <w:bCs/>
          <w:color w:val="FF0000"/>
          <w:sz w:val="32"/>
          <w:szCs w:val="32"/>
        </w:rPr>
        <w:t>停牌公告</w:t>
      </w:r>
    </w:p>
    <w:p w14:paraId="0362E5D4" w14:textId="77777777" w:rsidR="002B12DE" w:rsidRDefault="0001399E">
      <w:pPr>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2"/>
        <w:rPr>
          <w:rFonts w:ascii="仿宋_GB2312" w:eastAsia="仿宋_GB2312" w:hAnsi="宋体"/>
          <w:b/>
          <w:color w:val="000000"/>
          <w:sz w:val="24"/>
          <w:szCs w:val="24"/>
        </w:rPr>
      </w:pPr>
      <w:r>
        <w:rPr>
          <w:rFonts w:ascii="仿宋_GB2312" w:eastAsia="仿宋_GB2312" w:hAnsi="宋体" w:hint="eastAsia"/>
          <w:b/>
          <w:color w:val="000000"/>
          <w:sz w:val="24"/>
          <w:szCs w:val="24"/>
        </w:rPr>
        <w:t>本公司董事会及全体董事保证本公告内容不存在任何虚假记载、误导性陈述或者重大遗漏，并对其内容的真实性、准确性和完整性承担个别及连带责任。</w:t>
      </w:r>
    </w:p>
    <w:bookmarkEnd w:id="0"/>
    <w:p w14:paraId="0417A3CD" w14:textId="77777777" w:rsidR="002B12DE" w:rsidRDefault="002B12DE">
      <w:pPr>
        <w:widowControl/>
        <w:tabs>
          <w:tab w:val="center" w:pos="4153"/>
          <w:tab w:val="left" w:pos="6390"/>
        </w:tabs>
        <w:spacing w:line="360" w:lineRule="auto"/>
        <w:jc w:val="left"/>
        <w:rPr>
          <w:rFonts w:ascii="宋体" w:eastAsia="宋体" w:hAnsi="宋体" w:cs="Arial"/>
          <w:sz w:val="24"/>
          <w:szCs w:val="24"/>
        </w:rPr>
      </w:pPr>
    </w:p>
    <w:p w14:paraId="19F3A247" w14:textId="2418A4DE" w:rsidR="002B12DE" w:rsidRDefault="0001399E">
      <w:pPr>
        <w:widowControl/>
        <w:tabs>
          <w:tab w:val="center" w:pos="4153"/>
          <w:tab w:val="left" w:pos="6390"/>
        </w:tabs>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根据中国证券监督管理委员会（以下简称“中国证监会”）《并购重组委</w:t>
      </w:r>
      <w:r>
        <w:rPr>
          <w:rFonts w:ascii="Times New Roman" w:eastAsia="宋体" w:hAnsi="Times New Roman" w:hint="eastAsia"/>
          <w:sz w:val="24"/>
          <w:szCs w:val="24"/>
        </w:rPr>
        <w:t>2021</w:t>
      </w:r>
      <w:r>
        <w:rPr>
          <w:rFonts w:ascii="Times New Roman" w:eastAsia="宋体" w:hAnsi="Times New Roman" w:hint="eastAsia"/>
          <w:sz w:val="24"/>
          <w:szCs w:val="24"/>
        </w:rPr>
        <w:t>年第</w:t>
      </w:r>
      <w:r w:rsidR="00740D38">
        <w:rPr>
          <w:rFonts w:ascii="Times New Roman" w:eastAsia="宋体" w:hAnsi="Times New Roman" w:hint="eastAsia"/>
          <w:sz w:val="24"/>
          <w:szCs w:val="24"/>
        </w:rPr>
        <w:t>1</w:t>
      </w:r>
      <w:r w:rsidR="00740D38">
        <w:rPr>
          <w:rFonts w:ascii="Times New Roman" w:eastAsia="宋体" w:hAnsi="Times New Roman"/>
          <w:sz w:val="24"/>
          <w:szCs w:val="24"/>
        </w:rPr>
        <w:t>0</w:t>
      </w:r>
      <w:r>
        <w:rPr>
          <w:rFonts w:ascii="Times New Roman" w:eastAsia="宋体" w:hAnsi="Times New Roman" w:hint="eastAsia"/>
          <w:sz w:val="24"/>
          <w:szCs w:val="24"/>
        </w:rPr>
        <w:t>次工作会议公告》，中国证监会上市公司并购重组审核委员会（以下简称“并购重组委”）定于</w:t>
      </w:r>
      <w:r>
        <w:rPr>
          <w:rFonts w:ascii="Times New Roman" w:eastAsia="宋体" w:hAnsi="Times New Roman"/>
          <w:sz w:val="24"/>
          <w:szCs w:val="24"/>
        </w:rPr>
        <w:t>2021</w:t>
      </w:r>
      <w:r>
        <w:rPr>
          <w:rFonts w:ascii="Times New Roman" w:eastAsia="宋体" w:hAnsi="Times New Roman" w:hint="eastAsia"/>
          <w:sz w:val="24"/>
          <w:szCs w:val="24"/>
        </w:rPr>
        <w:t>年</w:t>
      </w:r>
      <w:r w:rsidR="00740D38">
        <w:rPr>
          <w:rFonts w:ascii="Times New Roman" w:eastAsia="宋体" w:hAnsi="Times New Roman" w:hint="eastAsia"/>
          <w:sz w:val="24"/>
          <w:szCs w:val="24"/>
        </w:rPr>
        <w:t>5</w:t>
      </w:r>
      <w:r>
        <w:rPr>
          <w:rFonts w:ascii="Times New Roman" w:eastAsia="宋体" w:hAnsi="Times New Roman" w:hint="eastAsia"/>
          <w:sz w:val="24"/>
          <w:szCs w:val="24"/>
        </w:rPr>
        <w:t>月</w:t>
      </w:r>
      <w:r w:rsidR="00740D38">
        <w:rPr>
          <w:rFonts w:ascii="Times New Roman" w:eastAsia="宋体" w:hAnsi="Times New Roman" w:hint="eastAsia"/>
          <w:sz w:val="24"/>
          <w:szCs w:val="24"/>
        </w:rPr>
        <w:t>1</w:t>
      </w:r>
      <w:r w:rsidR="00740D38">
        <w:rPr>
          <w:rFonts w:ascii="Times New Roman" w:eastAsia="宋体" w:hAnsi="Times New Roman"/>
          <w:sz w:val="24"/>
          <w:szCs w:val="24"/>
        </w:rPr>
        <w:t>9</w:t>
      </w:r>
      <w:r>
        <w:rPr>
          <w:rFonts w:ascii="Times New Roman" w:eastAsia="宋体" w:hAnsi="Times New Roman" w:hint="eastAsia"/>
          <w:sz w:val="24"/>
          <w:szCs w:val="24"/>
        </w:rPr>
        <w:t>日上午</w:t>
      </w:r>
      <w:r w:rsidR="00740D38">
        <w:rPr>
          <w:rFonts w:ascii="Times New Roman" w:eastAsia="宋体" w:hAnsi="Times New Roman" w:hint="eastAsia"/>
          <w:sz w:val="24"/>
          <w:szCs w:val="24"/>
        </w:rPr>
        <w:t>9</w:t>
      </w:r>
      <w:r>
        <w:rPr>
          <w:rFonts w:ascii="Times New Roman" w:eastAsia="宋体" w:hAnsi="Times New Roman"/>
          <w:sz w:val="24"/>
          <w:szCs w:val="24"/>
        </w:rPr>
        <w:t>:00</w:t>
      </w:r>
      <w:r>
        <w:rPr>
          <w:rFonts w:ascii="Times New Roman" w:eastAsia="宋体" w:hAnsi="Times New Roman" w:hint="eastAsia"/>
          <w:sz w:val="24"/>
          <w:szCs w:val="24"/>
        </w:rPr>
        <w:t>召开工作会议，审核</w:t>
      </w:r>
      <w:r>
        <w:rPr>
          <w:rFonts w:ascii="Times New Roman" w:eastAsia="宋体" w:hAnsi="Times New Roman"/>
          <w:sz w:val="24"/>
          <w:szCs w:val="24"/>
        </w:rPr>
        <w:t>北京京城机电股份有限公司</w:t>
      </w:r>
      <w:r>
        <w:rPr>
          <w:rFonts w:ascii="Times New Roman" w:eastAsia="宋体" w:hAnsi="Times New Roman" w:hint="eastAsia"/>
          <w:sz w:val="24"/>
          <w:szCs w:val="24"/>
        </w:rPr>
        <w:t>（以下简称“公司”）发行股份及支付现金购买资产并募集配套资金事项。</w:t>
      </w:r>
    </w:p>
    <w:p w14:paraId="32A5371D" w14:textId="51DEE97B" w:rsidR="002B12DE" w:rsidRDefault="0001399E">
      <w:pPr>
        <w:widowControl/>
        <w:tabs>
          <w:tab w:val="center" w:pos="4153"/>
          <w:tab w:val="left" w:pos="6390"/>
        </w:tabs>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根据《上市公司重大资产重组管理办法》、《关于完善上市公司股票停复牌制度的指导意见》等相关规定，经公司向上海证券交易所申请，公司</w:t>
      </w:r>
      <w:r w:rsidR="00DE4A12">
        <w:rPr>
          <w:rFonts w:ascii="Times New Roman" w:eastAsia="宋体" w:hAnsi="Times New Roman" w:hint="eastAsia"/>
          <w:sz w:val="24"/>
          <w:szCs w:val="24"/>
        </w:rPr>
        <w:t>A</w:t>
      </w:r>
      <w:r w:rsidR="00DE4A12">
        <w:rPr>
          <w:rFonts w:ascii="Times New Roman" w:eastAsia="宋体" w:hAnsi="Times New Roman" w:hint="eastAsia"/>
          <w:sz w:val="24"/>
          <w:szCs w:val="24"/>
        </w:rPr>
        <w:t>股</w:t>
      </w:r>
      <w:r>
        <w:rPr>
          <w:rFonts w:ascii="Times New Roman" w:eastAsia="宋体" w:hAnsi="Times New Roman" w:hint="eastAsia"/>
          <w:sz w:val="24"/>
          <w:szCs w:val="24"/>
        </w:rPr>
        <w:t>股票（股票简称：京城股份，股票代码：</w:t>
      </w:r>
      <w:r>
        <w:rPr>
          <w:rFonts w:ascii="Times New Roman" w:eastAsia="宋体" w:hAnsi="Times New Roman" w:hint="eastAsia"/>
          <w:sz w:val="24"/>
          <w:szCs w:val="24"/>
        </w:rPr>
        <w:t>600860</w:t>
      </w:r>
      <w:r>
        <w:rPr>
          <w:rFonts w:ascii="Times New Roman" w:eastAsia="宋体" w:hAnsi="Times New Roman" w:hint="eastAsia"/>
          <w:sz w:val="24"/>
          <w:szCs w:val="24"/>
        </w:rPr>
        <w:t>）将</w:t>
      </w:r>
      <w:r w:rsidR="008E4518">
        <w:rPr>
          <w:rFonts w:ascii="Times New Roman" w:eastAsia="宋体" w:hAnsi="Times New Roman" w:hint="eastAsia"/>
          <w:sz w:val="24"/>
          <w:szCs w:val="24"/>
        </w:rPr>
        <w:t>自</w:t>
      </w:r>
      <w:r>
        <w:rPr>
          <w:rFonts w:ascii="Times New Roman" w:eastAsia="宋体" w:hAnsi="Times New Roman"/>
          <w:sz w:val="24"/>
          <w:szCs w:val="24"/>
        </w:rPr>
        <w:t>2021</w:t>
      </w:r>
      <w:r>
        <w:rPr>
          <w:rFonts w:ascii="Times New Roman" w:eastAsia="宋体" w:hAnsi="Times New Roman" w:hint="eastAsia"/>
          <w:sz w:val="24"/>
          <w:szCs w:val="24"/>
        </w:rPr>
        <w:t>年</w:t>
      </w:r>
      <w:r w:rsidR="00740D38">
        <w:rPr>
          <w:rFonts w:ascii="Times New Roman" w:eastAsia="宋体" w:hAnsi="Times New Roman" w:hint="eastAsia"/>
          <w:sz w:val="24"/>
          <w:szCs w:val="24"/>
        </w:rPr>
        <w:t>5</w:t>
      </w:r>
      <w:r>
        <w:rPr>
          <w:rFonts w:ascii="Times New Roman" w:eastAsia="宋体" w:hAnsi="Times New Roman" w:hint="eastAsia"/>
          <w:sz w:val="24"/>
          <w:szCs w:val="24"/>
        </w:rPr>
        <w:t>月</w:t>
      </w:r>
      <w:r w:rsidR="00740D38">
        <w:rPr>
          <w:rFonts w:ascii="Times New Roman" w:eastAsia="宋体" w:hAnsi="Times New Roman" w:hint="eastAsia"/>
          <w:sz w:val="24"/>
          <w:szCs w:val="24"/>
        </w:rPr>
        <w:t>1</w:t>
      </w:r>
      <w:r w:rsidR="00740D38">
        <w:rPr>
          <w:rFonts w:ascii="Times New Roman" w:eastAsia="宋体" w:hAnsi="Times New Roman"/>
          <w:sz w:val="24"/>
          <w:szCs w:val="24"/>
        </w:rPr>
        <w:t>9</w:t>
      </w:r>
      <w:r>
        <w:rPr>
          <w:rFonts w:ascii="Times New Roman" w:eastAsia="宋体" w:hAnsi="Times New Roman" w:hint="eastAsia"/>
          <w:sz w:val="24"/>
          <w:szCs w:val="24"/>
        </w:rPr>
        <w:t>日开市起停牌，待公司收到并购重组委审核结果后公告并复牌。</w:t>
      </w:r>
      <w:r w:rsidR="00A447B2" w:rsidRPr="00A447B2">
        <w:rPr>
          <w:rFonts w:ascii="Times New Roman" w:eastAsia="宋体" w:hAnsi="Times New Roman"/>
          <w:sz w:val="24"/>
          <w:szCs w:val="24"/>
        </w:rPr>
        <w:t>H</w:t>
      </w:r>
      <w:r w:rsidR="00A447B2" w:rsidRPr="00A447B2">
        <w:rPr>
          <w:rFonts w:ascii="Times New Roman" w:eastAsia="宋体" w:hAnsi="Times New Roman"/>
          <w:sz w:val="24"/>
          <w:szCs w:val="24"/>
        </w:rPr>
        <w:t>股</w:t>
      </w:r>
      <w:proofErr w:type="gramStart"/>
      <w:r w:rsidR="00A447B2" w:rsidRPr="00A447B2">
        <w:rPr>
          <w:rFonts w:ascii="Times New Roman" w:eastAsia="宋体" w:hAnsi="Times New Roman"/>
          <w:sz w:val="24"/>
          <w:szCs w:val="24"/>
        </w:rPr>
        <w:t>不</w:t>
      </w:r>
      <w:proofErr w:type="gramEnd"/>
      <w:r w:rsidR="00A447B2" w:rsidRPr="00A447B2">
        <w:rPr>
          <w:rFonts w:ascii="Times New Roman" w:eastAsia="宋体" w:hAnsi="Times New Roman"/>
          <w:sz w:val="24"/>
          <w:szCs w:val="24"/>
        </w:rPr>
        <w:t>停牌。</w:t>
      </w:r>
    </w:p>
    <w:p w14:paraId="07402BA8" w14:textId="77777777" w:rsidR="002B12DE" w:rsidRDefault="0001399E">
      <w:pPr>
        <w:widowControl/>
        <w:tabs>
          <w:tab w:val="center" w:pos="4153"/>
          <w:tab w:val="left" w:pos="6390"/>
        </w:tabs>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公司将密切关注并购重组委的审核结果，严格按照相关法律法规的要求及时履行信息披露义务。公司本次发行股份及支付现金购买资产并募集配套资金事项尚需经中国证监会核准，能否获得核准及最终获得核准的时间存在不确定性。公司将根据该事项的实际进展情况及时履行信息披露义务，敬请广大投资者关注后续公告，并注意投资风险。</w:t>
      </w:r>
    </w:p>
    <w:p w14:paraId="43D77085" w14:textId="77777777" w:rsidR="002B12DE" w:rsidRDefault="0001399E">
      <w:pPr>
        <w:widowControl/>
        <w:tabs>
          <w:tab w:val="center" w:pos="4153"/>
          <w:tab w:val="left" w:pos="6390"/>
        </w:tabs>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特此公告。</w:t>
      </w:r>
    </w:p>
    <w:p w14:paraId="3B0489C4" w14:textId="77777777" w:rsidR="002B12DE" w:rsidRDefault="002B12DE">
      <w:pPr>
        <w:widowControl/>
        <w:tabs>
          <w:tab w:val="center" w:pos="4153"/>
          <w:tab w:val="left" w:pos="6390"/>
        </w:tabs>
        <w:spacing w:line="360" w:lineRule="auto"/>
        <w:ind w:firstLineChars="200" w:firstLine="480"/>
        <w:rPr>
          <w:rFonts w:ascii="Times New Roman" w:eastAsia="宋体" w:hAnsi="Times New Roman"/>
          <w:sz w:val="24"/>
          <w:szCs w:val="24"/>
        </w:rPr>
      </w:pPr>
    </w:p>
    <w:p w14:paraId="3825E9D0" w14:textId="77777777" w:rsidR="002B12DE" w:rsidRDefault="0001399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jc w:val="right"/>
        <w:rPr>
          <w:rFonts w:ascii="Times New Roman" w:eastAsia="宋体" w:hAnsi="Times New Roman"/>
          <w:kern w:val="0"/>
          <w:sz w:val="24"/>
          <w:szCs w:val="24"/>
        </w:rPr>
      </w:pPr>
      <w:r>
        <w:rPr>
          <w:rFonts w:ascii="Times New Roman" w:eastAsia="宋体" w:hAnsi="Times New Roman"/>
          <w:kern w:val="0"/>
          <w:sz w:val="24"/>
          <w:szCs w:val="24"/>
        </w:rPr>
        <w:t>北京京城机电股份有限公司董事会</w:t>
      </w:r>
    </w:p>
    <w:p w14:paraId="6B287407" w14:textId="3FDA4AC3" w:rsidR="002B12DE" w:rsidRPr="0001399E" w:rsidRDefault="0001399E" w:rsidP="008E451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jc w:val="left"/>
        <w:rPr>
          <w:rFonts w:ascii="Times New Roman" w:eastAsia="宋体" w:hAnsi="Times New Roman"/>
          <w:color w:val="000000"/>
          <w:sz w:val="24"/>
        </w:rPr>
      </w:pPr>
      <w:r>
        <w:rPr>
          <w:rFonts w:ascii="Times New Roman" w:eastAsia="宋体" w:hAnsi="Times New Roman"/>
          <w:kern w:val="0"/>
          <w:sz w:val="24"/>
          <w:szCs w:val="24"/>
        </w:rPr>
        <w:t xml:space="preserve">                                 </w:t>
      </w:r>
      <w:r w:rsidR="008E4518">
        <w:rPr>
          <w:rFonts w:ascii="Times New Roman" w:eastAsia="宋体" w:hAnsi="Times New Roman"/>
          <w:kern w:val="0"/>
          <w:sz w:val="24"/>
          <w:szCs w:val="24"/>
        </w:rPr>
        <w:t xml:space="preserve">               </w:t>
      </w:r>
      <w:r>
        <w:rPr>
          <w:rFonts w:ascii="Times New Roman" w:eastAsia="宋体" w:hAnsi="Times New Roman"/>
          <w:kern w:val="0"/>
          <w:sz w:val="24"/>
          <w:szCs w:val="24"/>
        </w:rPr>
        <w:t>2021</w:t>
      </w:r>
      <w:r>
        <w:rPr>
          <w:rFonts w:ascii="Times New Roman" w:eastAsia="宋体" w:hAnsi="Times New Roman"/>
          <w:kern w:val="0"/>
          <w:sz w:val="24"/>
          <w:szCs w:val="24"/>
        </w:rPr>
        <w:t>年</w:t>
      </w:r>
      <w:r w:rsidR="00740D38">
        <w:rPr>
          <w:rFonts w:ascii="Times New Roman" w:eastAsia="宋体" w:hAnsi="Times New Roman" w:hint="eastAsia"/>
          <w:kern w:val="0"/>
          <w:sz w:val="24"/>
          <w:szCs w:val="24"/>
        </w:rPr>
        <w:t>5</w:t>
      </w:r>
      <w:r>
        <w:rPr>
          <w:rFonts w:ascii="Times New Roman" w:eastAsia="宋体" w:hAnsi="Times New Roman"/>
          <w:kern w:val="0"/>
          <w:sz w:val="24"/>
          <w:szCs w:val="24"/>
        </w:rPr>
        <w:t>月</w:t>
      </w:r>
      <w:r w:rsidR="00740D38">
        <w:rPr>
          <w:rFonts w:ascii="Times New Roman" w:eastAsia="宋体" w:hAnsi="Times New Roman" w:hint="eastAsia"/>
          <w:kern w:val="0"/>
          <w:sz w:val="24"/>
          <w:szCs w:val="24"/>
        </w:rPr>
        <w:t>1</w:t>
      </w:r>
      <w:r w:rsidR="00740D38">
        <w:rPr>
          <w:rFonts w:ascii="Times New Roman" w:eastAsia="宋体" w:hAnsi="Times New Roman"/>
          <w:kern w:val="0"/>
          <w:sz w:val="24"/>
          <w:szCs w:val="24"/>
        </w:rPr>
        <w:t>8</w:t>
      </w:r>
      <w:r>
        <w:rPr>
          <w:rFonts w:ascii="Times New Roman" w:eastAsia="宋体" w:hAnsi="Times New Roman"/>
          <w:kern w:val="0"/>
          <w:sz w:val="24"/>
          <w:szCs w:val="24"/>
        </w:rPr>
        <w:t>日</w:t>
      </w:r>
    </w:p>
    <w:sectPr w:rsidR="002B12DE" w:rsidRPr="0001399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02656A" w14:textId="77777777" w:rsidR="00C66CAE" w:rsidRDefault="00C66CAE" w:rsidP="00740D38">
      <w:r>
        <w:separator/>
      </w:r>
    </w:p>
  </w:endnote>
  <w:endnote w:type="continuationSeparator" w:id="0">
    <w:p w14:paraId="3BB309BA" w14:textId="77777777" w:rsidR="00C66CAE" w:rsidRDefault="00C66CAE" w:rsidP="00740D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5DB8BD" w14:textId="77777777" w:rsidR="00C66CAE" w:rsidRDefault="00C66CAE" w:rsidP="00740D38">
      <w:r>
        <w:separator/>
      </w:r>
    </w:p>
  </w:footnote>
  <w:footnote w:type="continuationSeparator" w:id="0">
    <w:p w14:paraId="4F05B97D" w14:textId="77777777" w:rsidR="00C66CAE" w:rsidRDefault="00C66CAE" w:rsidP="00740D3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B12DE"/>
    <w:rsid w:val="0001399E"/>
    <w:rsid w:val="000D10C5"/>
    <w:rsid w:val="00273D43"/>
    <w:rsid w:val="002B12DE"/>
    <w:rsid w:val="00490E88"/>
    <w:rsid w:val="00740D38"/>
    <w:rsid w:val="0075330B"/>
    <w:rsid w:val="008B7F91"/>
    <w:rsid w:val="008E4518"/>
    <w:rsid w:val="008E5AAE"/>
    <w:rsid w:val="00A447B2"/>
    <w:rsid w:val="00B50781"/>
    <w:rsid w:val="00C66CAE"/>
    <w:rsid w:val="00DE4A12"/>
    <w:rsid w:val="11F67A0B"/>
    <w:rsid w:val="2C6D76BE"/>
    <w:rsid w:val="3066790D"/>
    <w:rsid w:val="6F517725"/>
    <w:rsid w:val="76930879"/>
    <w:rsid w:val="7E60628E"/>
    <w:rsid w:val="7F1B24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1CBFD34"/>
  <w15:docId w15:val="{220FBEA7-325C-4D91-8F07-6008040B08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等线" w:eastAsia="等线" w:hAnsi="等线"/>
      <w:kern w:val="2"/>
      <w:sz w:val="21"/>
      <w:szCs w:val="22"/>
    </w:rPr>
  </w:style>
  <w:style w:type="paragraph" w:styleId="4">
    <w:name w:val="heading 4"/>
    <w:basedOn w:val="a"/>
    <w:next w:val="a"/>
    <w:link w:val="40"/>
    <w:semiHidden/>
    <w:unhideWhenUsed/>
    <w:qFormat/>
    <w:pPr>
      <w:keepNext/>
      <w:keepLines/>
      <w:spacing w:before="280" w:after="290" w:line="376" w:lineRule="auto"/>
      <w:outlineLvl w:val="3"/>
    </w:pPr>
    <w:rPr>
      <w:rFonts w:ascii="黑体" w:hAnsi="黑体" w:cstheme="majorBid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标题 4 字符"/>
    <w:basedOn w:val="a0"/>
    <w:link w:val="4"/>
    <w:uiPriority w:val="9"/>
    <w:qFormat/>
    <w:rPr>
      <w:rFonts w:ascii="黑体" w:eastAsia="宋体" w:hAnsi="黑体" w:cstheme="majorBidi"/>
      <w:b/>
      <w:bCs/>
      <w:sz w:val="24"/>
      <w:szCs w:val="28"/>
    </w:rPr>
  </w:style>
  <w:style w:type="paragraph" w:styleId="a3">
    <w:name w:val="header"/>
    <w:basedOn w:val="a"/>
    <w:link w:val="a4"/>
    <w:rsid w:val="00740D3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740D38"/>
    <w:rPr>
      <w:rFonts w:ascii="等线" w:eastAsia="等线" w:hAnsi="等线"/>
      <w:kern w:val="2"/>
      <w:sz w:val="18"/>
      <w:szCs w:val="18"/>
    </w:rPr>
  </w:style>
  <w:style w:type="paragraph" w:styleId="a5">
    <w:name w:val="footer"/>
    <w:basedOn w:val="a"/>
    <w:link w:val="a6"/>
    <w:rsid w:val="00740D38"/>
    <w:pPr>
      <w:tabs>
        <w:tab w:val="center" w:pos="4153"/>
        <w:tab w:val="right" w:pos="8306"/>
      </w:tabs>
      <w:snapToGrid w:val="0"/>
      <w:jc w:val="left"/>
    </w:pPr>
    <w:rPr>
      <w:sz w:val="18"/>
      <w:szCs w:val="18"/>
    </w:rPr>
  </w:style>
  <w:style w:type="character" w:customStyle="1" w:styleId="a6">
    <w:name w:val="页脚 字符"/>
    <w:basedOn w:val="a0"/>
    <w:link w:val="a5"/>
    <w:rsid w:val="00740D38"/>
    <w:rPr>
      <w:rFonts w:ascii="等线" w:eastAsia="等线" w:hAnsi="等线"/>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126</TotalTime>
  <Pages>1</Pages>
  <Words>119</Words>
  <Characters>680</Characters>
  <Application>Microsoft Office Word</Application>
  <DocSecurity>0</DocSecurity>
  <Lines>5</Lines>
  <Paragraphs>1</Paragraphs>
  <ScaleCrop>false</ScaleCrop>
  <Company/>
  <LinksUpToDate>false</LinksUpToDate>
  <CharactersWithSpaces>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12913</dc:creator>
  <cp:lastModifiedBy>L Y</cp:lastModifiedBy>
  <cp:revision>11</cp:revision>
  <dcterms:created xsi:type="dcterms:W3CDTF">2021-04-09T11:38:00Z</dcterms:created>
  <dcterms:modified xsi:type="dcterms:W3CDTF">2021-05-18T05:20:00Z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7452BCE4E29F4531B7BFAD6ED2F8A70D</vt:lpwstr>
  </property>
</Properties>
</file>